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before="0" w:after="0"/>
        <w:ind w:left="0" w:hanging="2"/>
        <w:rPr>
          <w:rFonts w:ascii="Arial" w:hAnsi="Arial" w:eastAsia="Arial" w:cs="Arial"/>
          <w:color w:val="000000"/>
        </w:rPr>
      </w:pPr>
      <w:r>
        <w:rPr>
          <w:rFonts w:eastAsia="Arial" w:cs="Arial" w:ascii="Arial" w:hAnsi="Arial"/>
          <w:color w:val="000000"/>
        </w:rPr>
      </w:r>
    </w:p>
    <w:tbl>
      <w:tblPr>
        <w:tblStyle w:val="af4"/>
        <w:tblW w:w="9776" w:type="dxa"/>
        <w:jc w:val="left"/>
        <w:tblInd w:w="54" w:type="dxa"/>
        <w:tblCellMar>
          <w:top w:w="0" w:type="dxa"/>
          <w:left w:w="108" w:type="dxa"/>
          <w:bottom w:w="0" w:type="dxa"/>
          <w:right w:w="108" w:type="dxa"/>
        </w:tblCellMar>
        <w:tblLook w:firstRow="0" w:noVBand="0" w:lastRow="0" w:firstColumn="0" w:lastColumn="0" w:noHBand="0" w:val="0000"/>
      </w:tblPr>
      <w:tblGrid>
        <w:gridCol w:w="2739"/>
        <w:gridCol w:w="7036"/>
      </w:tblGrid>
      <w:tr>
        <w:trPr/>
        <w:tc>
          <w:tcPr>
            <w:tcW w:w="2739"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036" w:type="dxa"/>
            <w:tcBorders/>
            <w:shd w:fill="auto" w:val="clear"/>
          </w:tcPr>
          <w:p>
            <w:pPr>
              <w:pStyle w:val="Normal"/>
              <w:pBdr/>
              <w:spacing w:lineRule="auto" w:line="240" w:before="0" w:after="0"/>
              <w:ind w:left="0" w:hanging="2"/>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Додаток 2</w:t>
            </w:r>
          </w:p>
          <w:p>
            <w:pPr>
              <w:pStyle w:val="Normal"/>
              <w:pBdr/>
              <w:spacing w:lineRule="auto" w:line="240" w:before="0" w:after="0"/>
              <w:ind w:left="0" w:hanging="2"/>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до Договору про постачання електричної </w:t>
            </w:r>
          </w:p>
          <w:p>
            <w:pPr>
              <w:pStyle w:val="Normal"/>
              <w:pBdr/>
              <w:spacing w:lineRule="auto" w:line="240" w:before="0" w:after="0"/>
              <w:ind w:left="0" w:hanging="2"/>
              <w:jc w:val="right"/>
              <w:rPr/>
            </w:pPr>
            <w:r>
              <w:rPr>
                <w:rFonts w:eastAsia="Times New Roman" w:cs="Times New Roman" w:ascii="Times New Roman" w:hAnsi="Times New Roman"/>
                <w:color w:val="000000"/>
                <w:sz w:val="20"/>
                <w:szCs w:val="20"/>
              </w:rPr>
              <w:t xml:space="preserve">енергії споживачу №__________ від «__» ______ 202_р </w:t>
            </w:r>
          </w:p>
        </w:tc>
      </w:tr>
      <w:tr>
        <w:trPr/>
        <w:tc>
          <w:tcPr>
            <w:tcW w:w="2739"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036" w:type="dxa"/>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2739" w:type="dxa"/>
            <w:tcBorders/>
            <w:shd w:fill="auto" w:val="clear"/>
          </w:tcPr>
          <w:p>
            <w:pPr>
              <w:pStyle w:val="Normal"/>
              <w:keepNext w:val="true"/>
              <w:pBdr/>
              <w:spacing w:lineRule="auto" w:line="240" w:before="0" w:after="0"/>
              <w:ind w:left="0" w:hanging="2"/>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Постачальник:</w:t>
            </w:r>
          </w:p>
        </w:tc>
        <w:tc>
          <w:tcPr>
            <w:tcW w:w="7036"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ТОВАРИСТВО З ОБМЕЖЕНОЮ ВІДПОВІДАЛЬНІСТЮ «ГАЗ УКРАЇНИ»</w:t>
            </w:r>
            <w:r>
              <w:rPr>
                <w:rFonts w:eastAsia="Times New Roman" w:cs="Times New Roman" w:ascii="Times New Roman" w:hAnsi="Times New Roman"/>
                <w:color w:val="000000"/>
                <w:sz w:val="20"/>
                <w:szCs w:val="20"/>
              </w:rPr>
              <w:t xml:space="preserve"> </w:t>
            </w:r>
          </w:p>
        </w:tc>
      </w:tr>
      <w:tr>
        <w:trPr/>
        <w:tc>
          <w:tcPr>
            <w:tcW w:w="2739" w:type="dxa"/>
            <w:tcBorders/>
            <w:shd w:fill="auto" w:val="clear"/>
          </w:tcPr>
          <w:p>
            <w:pPr>
              <w:pStyle w:val="Normal"/>
              <w:keepNext w:val="true"/>
              <w:pBdr/>
              <w:spacing w:lineRule="auto" w:line="240" w:before="0" w:after="0"/>
              <w:ind w:left="0" w:hanging="2"/>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Споживач:</w:t>
            </w:r>
          </w:p>
        </w:tc>
        <w:tc>
          <w:tcPr>
            <w:tcW w:w="7036"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___________________________________________________________________</w:t>
            </w:r>
          </w:p>
          <w:p>
            <w:pPr>
              <w:pStyle w:val="Normal"/>
              <w:pBdr/>
              <w:spacing w:lineRule="auto" w:line="240" w:before="0" w:after="0"/>
              <w:ind w:left="0" w:hanging="2"/>
              <w:jc w:val="center"/>
              <w:rPr>
                <w:rFonts w:ascii="Times New Roman" w:hAnsi="Times New Roman" w:eastAsia="Times New Roman" w:cs="Times New Roman"/>
                <w:b/>
                <w:b/>
                <w:smallCaps/>
                <w:color w:val="000000"/>
                <w:sz w:val="20"/>
                <w:szCs w:val="20"/>
              </w:rPr>
            </w:pPr>
            <w:r>
              <w:rPr>
                <w:rFonts w:eastAsia="Times New Roman" w:cs="Times New Roman" w:ascii="Times New Roman" w:hAnsi="Times New Roman"/>
                <w:b/>
                <w:smallCaps/>
                <w:color w:val="000000"/>
                <w:sz w:val="20"/>
                <w:szCs w:val="20"/>
              </w:rPr>
            </w:r>
          </w:p>
        </w:tc>
      </w:tr>
      <w:tr>
        <w:trPr/>
        <w:tc>
          <w:tcPr>
            <w:tcW w:w="9775" w:type="dxa"/>
            <w:gridSpan w:val="2"/>
            <w:tcBorders>
              <w:bottom w:val="single" w:sz="4" w:space="0" w:color="000000"/>
            </w:tcBorders>
            <w:shd w:fill="auto" w:val="clear"/>
          </w:tcPr>
          <w:p>
            <w:pPr>
              <w:pStyle w:val="Normal"/>
              <w:keepNext w:val="true"/>
              <w:pBdr/>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keepNext w:val="true"/>
              <w:pBdr/>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КОМЕРЦІЙНА ПРОПОЗИЦІЯ</w:t>
            </w:r>
          </w:p>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Критерії, яким відповідає особа</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Споживач є власником (користувачем) об’єкта.</w:t>
            </w:r>
          </w:p>
          <w:p>
            <w:pPr>
              <w:pStyle w:val="Normal"/>
              <w:numPr>
                <w:ilvl w:val="0"/>
                <w:numId w:val="4"/>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Наявність договору з ОСР про надання послуг з розподілу.</w:t>
            </w:r>
          </w:p>
          <w:p>
            <w:pPr>
              <w:pStyle w:val="Normal"/>
              <w:numPr>
                <w:ilvl w:val="0"/>
                <w:numId w:val="4"/>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Комерційний облік електричної енергії відповідає вимогам Кодексу комерційного обліку.</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Ціна</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Вартість очікуваного обсягу споживання електричної енергії на відповідний розрахунковий період визначається Споживачем самостійно за формулою:</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Bоосп=Wзаяв+Тфакт, де:</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Воосп-</w:t>
            </w:r>
            <w:r>
              <w:rPr>
                <w:rFonts w:eastAsia="Times New Roman" w:cs="Times New Roman" w:ascii="Times New Roman" w:hAnsi="Times New Roman"/>
                <w:color w:val="000000"/>
                <w:sz w:val="20"/>
                <w:szCs w:val="20"/>
              </w:rPr>
              <w:t>вартість очікуваного обсягу споживання електричної енергії;</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Wзаяв</w:t>
            </w:r>
            <w:r>
              <w:rPr>
                <w:rFonts w:eastAsia="Times New Roman" w:cs="Times New Roman" w:ascii="Times New Roman" w:hAnsi="Times New Roman"/>
                <w:color w:val="000000"/>
                <w:sz w:val="20"/>
                <w:szCs w:val="20"/>
              </w:rPr>
              <w:t>-заявлений обсяг споживання електричної енергії;</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Тфакт</w:t>
            </w:r>
            <w:r>
              <w:rPr>
                <w:rFonts w:eastAsia="Times New Roman" w:cs="Times New Roman" w:ascii="Times New Roman" w:hAnsi="Times New Roman"/>
                <w:color w:val="000000"/>
                <w:sz w:val="20"/>
                <w:szCs w:val="20"/>
              </w:rPr>
              <w:t>-фактичний тариф електричної енергії найближчого минулого закритого розрахункового періоду.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Для нових споживачів в перший розрахунковий період вартість очікуваного обсягу споживання електричної енергії на відповідний розрахунковий період визначається за формулою:</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Воосп</w:t>
            </w:r>
            <w:r>
              <w:rPr>
                <w:rFonts w:eastAsia="Times New Roman" w:cs="Times New Roman" w:ascii="Times New Roman" w:hAnsi="Times New Roman"/>
                <w:color w:val="000000"/>
                <w:sz w:val="20"/>
                <w:szCs w:val="20"/>
              </w:rPr>
              <w:t>=</w:t>
            </w:r>
            <w:r>
              <w:rPr>
                <w:rFonts w:eastAsia="Times New Roman" w:cs="Times New Roman" w:ascii="Times New Roman" w:hAnsi="Times New Roman"/>
                <w:b/>
                <w:color w:val="000000"/>
                <w:sz w:val="20"/>
                <w:szCs w:val="20"/>
              </w:rPr>
              <w:t xml:space="preserve"> Wзаяв*(Црдн+Тп+Тоср+Тосп+Тор), де:</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Црдн</w:t>
            </w:r>
            <w:r>
              <w:rPr>
                <w:rFonts w:eastAsia="Times New Roman" w:cs="Times New Roman" w:ascii="Times New Roman" w:hAnsi="Times New Roman"/>
                <w:color w:val="000000"/>
                <w:sz w:val="20"/>
                <w:szCs w:val="20"/>
              </w:rPr>
              <w:t>-фактичні погодинні ціни купівлі-продажу електричної енергії на ринку «добу наперед» найближчого минулого закритого розрахункового періоду;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Тп</w:t>
            </w:r>
            <w:r>
              <w:rPr>
                <w:rFonts w:eastAsia="Times New Roman" w:cs="Times New Roman" w:ascii="Times New Roman" w:hAnsi="Times New Roman"/>
                <w:color w:val="000000"/>
                <w:sz w:val="20"/>
                <w:szCs w:val="20"/>
              </w:rPr>
              <w:t>-тариф постачальника електричної енергії(відповідно до п.3 цієї комерційної пропозиції);</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Тосп</w:t>
            </w:r>
            <w:r>
              <w:rPr>
                <w:rFonts w:eastAsia="Times New Roman" w:cs="Times New Roman" w:ascii="Times New Roman" w:hAnsi="Times New Roman"/>
                <w:color w:val="000000"/>
                <w:sz w:val="20"/>
                <w:szCs w:val="20"/>
              </w:rPr>
              <w:t>-тариф на послугу з передачі електричної енергії оператора системи передачі, затверджений НКРЕКП;</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Тоср</w:t>
            </w:r>
            <w:r>
              <w:rPr>
                <w:rFonts w:eastAsia="Times New Roman" w:cs="Times New Roman" w:ascii="Times New Roman" w:hAnsi="Times New Roman"/>
                <w:color w:val="000000"/>
                <w:sz w:val="20"/>
                <w:szCs w:val="20"/>
              </w:rPr>
              <w:t>-тариф на послугу з розподілу електричної енергії оператора системи розподілу, затверджений НКРЕКП;</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Тор</w:t>
            </w:r>
            <w:r>
              <w:rPr>
                <w:rFonts w:eastAsia="Times New Roman" w:cs="Times New Roman" w:ascii="Times New Roman" w:hAnsi="Times New Roman"/>
                <w:color w:val="000000"/>
                <w:sz w:val="20"/>
                <w:szCs w:val="20"/>
              </w:rPr>
              <w:t>-тариф на послугу ДП «Оператор ринку», затверджений НКРЕКП.</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 визначену вартість очікуваного обсягу споживання електричної енергії нараховується 20%ПДВ.</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Остаточний розрахунок</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Остаточний розрахунок Споживача за електричну енергію за розрахунковий період здійснюється на підставі самостійно отриманого Споживачем у Постачальника рахунка, в якому зазначаються суми до сплати за використану електричну енергію, в строки встановлені п. 6 цієї комерційної пропозиції.</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Остаточна вартість спожитої електричної енергії за розрахунковий місяць визначається за формулою:</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Остаточна вартість = Wфакт*(Цсрзв+Нб+Тп+Тосп+Тоср+Тор)+Кориг</w:t>
            </w:r>
            <w:r>
              <w:rPr>
                <w:rFonts w:eastAsia="Times New Roman" w:cs="Times New Roman" w:ascii="Times New Roman" w:hAnsi="Times New Roman"/>
                <w:color w:val="000000"/>
                <w:sz w:val="20"/>
                <w:szCs w:val="20"/>
              </w:rPr>
              <w:t>, де:</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Wфакт</w:t>
            </w:r>
            <w:r>
              <w:rPr>
                <w:rFonts w:eastAsia="Times New Roman" w:cs="Times New Roman" w:ascii="Times New Roman" w:hAnsi="Times New Roman"/>
                <w:color w:val="000000"/>
                <w:sz w:val="20"/>
                <w:szCs w:val="20"/>
              </w:rPr>
              <w:t>-фактичний погодинний обсяг спожитої електричної енергії отриманий від відповідного АКО, ОСР, ОСП;</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Цсрзв</w:t>
            </w:r>
            <w:r>
              <w:rPr>
                <w:rFonts w:eastAsia="Times New Roman" w:cs="Times New Roman" w:ascii="Times New Roman" w:hAnsi="Times New Roman"/>
                <w:color w:val="000000"/>
                <w:sz w:val="20"/>
                <w:szCs w:val="20"/>
              </w:rPr>
              <w:t>-середньозважена вартість електричної енергії закупленої на всіх сегментах ринку електричної енергії в розрахунковому місяці(ринок «добу наперед», внутрішньодобовий ринок та ринок двосторонніх договорів);</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Нб</w:t>
            </w:r>
            <w:r>
              <w:rPr>
                <w:rFonts w:eastAsia="Times New Roman" w:cs="Times New Roman" w:ascii="Times New Roman" w:hAnsi="Times New Roman"/>
                <w:color w:val="000000"/>
                <w:sz w:val="20"/>
                <w:szCs w:val="20"/>
              </w:rPr>
              <w:t>*-вартість небалансів;</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Тп</w:t>
            </w:r>
            <w:r>
              <w:rPr>
                <w:rFonts w:eastAsia="Times New Roman" w:cs="Times New Roman" w:ascii="Times New Roman" w:hAnsi="Times New Roman"/>
                <w:color w:val="000000"/>
                <w:sz w:val="20"/>
                <w:szCs w:val="20"/>
              </w:rPr>
              <w:t>-тариф постачальника електричної енергії 0,25 грн. за кВт без ПДВ;</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Тосп</w:t>
            </w:r>
            <w:r>
              <w:rPr>
                <w:rFonts w:eastAsia="Times New Roman" w:cs="Times New Roman" w:ascii="Times New Roman" w:hAnsi="Times New Roman"/>
                <w:color w:val="000000"/>
                <w:sz w:val="20"/>
                <w:szCs w:val="20"/>
              </w:rPr>
              <w:t>-тариф на послугу з передачі електричної енергії оператора системи передачі;</w:t>
            </w:r>
            <w:r>
              <w:rPr>
                <w:rFonts w:eastAsia="Times New Roman" w:cs="Times New Roman" w:ascii="Times New Roman" w:hAnsi="Times New Roman"/>
                <w:b/>
                <w:color w:val="000000"/>
                <w:sz w:val="20"/>
                <w:szCs w:val="20"/>
              </w:rPr>
              <w:t xml:space="preserve"> </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Тоср</w:t>
            </w:r>
            <w:r>
              <w:rPr>
                <w:rFonts w:eastAsia="Times New Roman" w:cs="Times New Roman" w:ascii="Times New Roman" w:hAnsi="Times New Roman"/>
                <w:color w:val="000000"/>
                <w:sz w:val="20"/>
                <w:szCs w:val="20"/>
              </w:rPr>
              <w:t>-тариф на послугу з розподілу електричної енергії оператора системи розподілу;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Тор</w:t>
            </w:r>
            <w:r>
              <w:rPr>
                <w:rFonts w:eastAsia="Times New Roman" w:cs="Times New Roman" w:ascii="Times New Roman" w:hAnsi="Times New Roman"/>
                <w:color w:val="000000"/>
                <w:sz w:val="20"/>
                <w:szCs w:val="20"/>
              </w:rPr>
              <w:t>-тариф на послугу ДП»Оператор ринку»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Кориг</w:t>
            </w:r>
            <w:r>
              <w:rPr>
                <w:rFonts w:eastAsia="Times New Roman" w:cs="Times New Roman" w:ascii="Times New Roman" w:hAnsi="Times New Roman"/>
                <w:color w:val="000000"/>
                <w:sz w:val="20"/>
                <w:szCs w:val="20"/>
              </w:rPr>
              <w:t>**-корегування нарахувань попередніх розрахункових періодів.</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Вартість спожитої електроенергії у розрахунковому періоді включає в себе усі обов’язкові податки (крім ПДВ, який обліковується окремо), збори та платежі, що передбачені правилами ринків електроенергії та законодавства України.</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*Нб-розраховується як добуток обсягу небалансів (обсяг відхилення фактичної купівлі електроенергії на всіх сегментах ринку від заявленого обсягу купівлі електричної енергії) на фактичні погодинні ціни які склалися на балансуючому ринку для Постачальника;</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**Кориг-можливість коригування попередніх розрахункових періодів у випадку отримання від ОСР скоригованих даних, розрахунку небалансів у відповідності до ККО, ПРРЕЕ та інші випадки зміни цін, тарифів відповідно до чинного законодавства.</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 вартість спожитої електроенергії нараховується 20% ПДВ.</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Спосіб оплати</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Розрахунковим періодом є один календарний місяць.</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Оплата електричної енергії здійснюється Споживачем самостійно за ціною розрахованою відповідно до п. 2 та з урахуванням заявленого обсягу споживання у наступному порядку: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 до 25-го числа місяця що передує розрахунковому;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 до 7-го календарного дня розрахункового місяця;</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 до 15-го календарного дня розрахункового місяця.</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rPr>
              <w:t>О</w:t>
            </w:r>
            <w:r>
              <w:rPr>
                <w:rFonts w:eastAsia="Times New Roman" w:cs="Times New Roman" w:ascii="Times New Roman" w:hAnsi="Times New Roman"/>
                <w:color w:val="000000"/>
                <w:sz w:val="20"/>
                <w:szCs w:val="20"/>
              </w:rPr>
              <w:t>плата вартості послуг з розподілу здійснюється Споживачем в обсязі 100% вартості до 25-го числа місяця, що передує розрахунковому.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разі, якщо здійснені платежі за електричну енергію, спожиту в розрахунковому періоді, перевищують вартість фактично спожитої електричної енергії, сума переплати зараховується, як попередня оплата вартості очікуваного обсягу споживання електричної енергії наступного розрахункового періоду.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 платіжному документі, у реквізиті «Призначення платежу» повинна бути вказана назва Споживача, характер платежу (попередня оплата, остаточний розрахунок, штрафні санкції і т. і.), період за який здійснюється оплата.</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 разі відсутності графіка погашення заборгованості та при відсутності у платіжному документі у реквізиті «Призначення платежу» посилань на період за який здійснюється оплата, або перевищення суми платежу, необхідної для цього періоду, кошти перераховані Споживачем за електричну енергію, Постачальник має право зарахувати як погашення існуючої заборгованості Споживача з найдавнішим терміном її виникнення.</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 разі порушення строків здійснення оплати(більш ніж на 5 календарних днів) або сплати не в повному обсязі в продовж 2-х розрахункових періодів підряд – Постачальник має право з третього розрахункового періоду збільшити Тп (тариф постачальника електричної енергії), зазначений у п. 3 цієї комерційної пропозиції на 0,02 грн.</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Оплата послуг з розподілу електричної енергії</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Споживач здійснює плату за послугу з розподілу електричної енергії самостійно</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Термін надання рахунку за спожиту електричну енергію та термін його оплати, спосіб отримання</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Рахунок на проведення остаточного розрахунку самостійно отримується Споживачем до 10 числа місяця, наступного за розрахунковим, або направляється Постачальником на електронну адресу Споживача, вказану у Договорі.</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Оплата рахунка Постачальника за Договором має бути здійснена Споживачем у строки, визначені в рахунку, але не більше ніж протягом 5 робочих днів від дати його отримання Споживачем.</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Розмір пені за порушення строку оплати та/або штраф</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 внесення будь-яких платежів, передбачених умовами комерційної пропозиції, з порушенням термінів, визначених цією комерційною пропозицією, Споживач сплачує Постачальнику пеню у розмірі подвійної облікової ставки НБУ за весь період прострочення, а також 3% річних від суми боргу та компенсацію втрат від інфляції.</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Суми пені, 3% річних, інфляційних зазначаються у розрахунковому документі окремим рядком, та повинні бути сплачені протягом 5 робочих днів від дня його отримання Споживачем.</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Узгодження, коригування обсягів постачання, графіку погодинного навантаження Споживача</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pBdr/>
              <w:tabs>
                <w:tab w:val="clear" w:pos="720"/>
                <w:tab w:val="left" w:pos="403"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Для прогнозування попиту та забезпечення обсягів закупівлі електричної енергії на наступний календарний рік, Споживач не пізніше 1 листопада поточного року надає Постачальнику відомості щодо прогнозованих (очікуваних) обсягів споживання електричної енергії по об’єкту (об’єктам) Споживача. Заявлені обсяги споживання повинні об’єктивно відображати прогнозоване споживання електроенергії або бути максимально наближені до фактичних обсягів споживання.</w:t>
            </w:r>
          </w:p>
          <w:p>
            <w:pPr>
              <w:pStyle w:val="Normal"/>
              <w:pBdr/>
              <w:tabs>
                <w:tab w:val="clear" w:pos="720"/>
                <w:tab w:val="left" w:pos="403"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Відповідне повідомлення надається Споживачем шляхом направлення листа на адресу електронної пошти: ukrgase@gmail.com, з одночасним направленням заявки у паперовому вигляді засобами поштового зв’язку або нарочно.</w:t>
            </w:r>
          </w:p>
          <w:p>
            <w:pPr>
              <w:pStyle w:val="Normal"/>
              <w:numPr>
                <w:ilvl w:val="0"/>
                <w:numId w:val="1"/>
              </w:numPr>
              <w:pBdr/>
              <w:tabs>
                <w:tab w:val="clear" w:pos="720"/>
                <w:tab w:val="left" w:pos="119" w:leader="none"/>
                <w:tab w:val="left" w:pos="261"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Для прогнозування погодинного обсягу електричної енергії на розрахункову добу розрахункового місяця постачання електричної енергії, Споживач надає за 20 днів до початку розрахункового місяця прогнозований графік навантаження у формі Додаток 3 до договору в файлі формату xls, xlsx на електронну адресу: ukrgase@gmail.com, з одночасним направленням підписаного зі своєї сторони Додатку 3 в паперовому вигляді засобами поштового зв’язку або нарочно.</w:t>
            </w:r>
          </w:p>
          <w:p>
            <w:pPr>
              <w:pStyle w:val="Normal"/>
              <w:numPr>
                <w:ilvl w:val="0"/>
                <w:numId w:val="1"/>
              </w:numPr>
              <w:pBdr/>
              <w:tabs>
                <w:tab w:val="clear" w:pos="720"/>
                <w:tab w:val="left" w:pos="119" w:leader="none"/>
                <w:tab w:val="left" w:pos="261"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 разі ймовірності відхилення від прогнозного графіку навантаження Споживач зобов’язується повідомляти Постачальника до 09:00 години за два робочі дні до доби постачання електричної енергії у формі скоригованого з доби коригування прогнозованого графіку навантаження у формі Додаток 3 до договору в файлі формату xls, xlsx на електронну адресу: ukrgase@gmail.com,  з одночасним направленням підписаного зі своєї сторони Додатку 3 в паперовому вигляді засобами поштового зв’язку або нарочно.</w:t>
            </w:r>
          </w:p>
          <w:p>
            <w:pPr>
              <w:pStyle w:val="Normal"/>
              <w:numPr>
                <w:ilvl w:val="0"/>
                <w:numId w:val="1"/>
              </w:numPr>
              <w:pBdr/>
              <w:tabs>
                <w:tab w:val="clear" w:pos="720"/>
                <w:tab w:val="left" w:pos="119" w:leader="none"/>
                <w:tab w:val="left" w:pos="261"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Якщо Споживач не виконав умови п. 3 Постачальник має право відмовити в коригуванні погодинного обсягу споживання електричної енергії та прийняти обсяг прогнозування на рівні «нуль» або попереднього розрахункового періоду.</w:t>
            </w:r>
          </w:p>
          <w:p>
            <w:pPr>
              <w:pStyle w:val="Normal"/>
              <w:pBdr/>
              <w:tabs>
                <w:tab w:val="clear" w:pos="720"/>
                <w:tab w:val="left" w:pos="119" w:leader="none"/>
                <w:tab w:val="left" w:pos="261"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Підставою для збільшення обсягу електричної енергії у розрахунковому періоді, є  100%-ва попередня оплата Споживачем додатково заявленого обсягу електричної енергії на момент звернення.</w:t>
            </w:r>
          </w:p>
          <w:p>
            <w:pPr>
              <w:pStyle w:val="Normal"/>
              <w:pBdr/>
              <w:tabs>
                <w:tab w:val="clear" w:pos="720"/>
                <w:tab w:val="left" w:pos="119" w:leader="none"/>
                <w:tab w:val="left" w:pos="261" w:leader="none"/>
                <w:tab w:val="left" w:pos="494"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Споживач відповідає за недотримання наданих Постачальнику добових графіків погодинного споживання електроенергії, яке створило небаланси електричної енергії та компенсує понесені Постачальником витрати на купівлю (продаж) електричної енергії на внутрішньодобовому та балансуючому ринках.</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166" w:leader="none"/>
                <w:tab w:val="left" w:pos="288"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Штраф за дострокове припинення договору</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tabs>
                <w:tab w:val="clear" w:pos="720"/>
                <w:tab w:val="left" w:pos="403"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 разі неповідомлення або повідомлення про зміну постачальника в строк, який менше ніж 21 день до дати зміни Постачальника, Споживач сплачує постачальнику штраф в розмірі вартості електричної енергії, спожитої за розрахунковий період, який передував даті отримання Постачальником інформації про припинення дії (розірвання) договору (направлене споживачем, адміністратором комерційного обліку, оператором системи тощо).</w:t>
            </w:r>
          </w:p>
          <w:p>
            <w:pPr>
              <w:pStyle w:val="Normal"/>
              <w:pBdr/>
              <w:tabs>
                <w:tab w:val="clear" w:pos="720"/>
                <w:tab w:val="left" w:pos="403"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Штрафні санкції передбачені даним розділом Комерційної пропозиції не застосовуються у випадку, якщо договір буде розірвано у разі незгоди Споживача із новими умовами договору, запропонованими Постачальником.</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288"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Зобов’язання надавати компенсації споживачу за недотримання Постачальником комерційної якості надання послуг</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tabs>
                <w:tab w:val="clear" w:pos="720"/>
                <w:tab w:val="left" w:pos="403"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Компенсація за недотримання Постачальником комерційної якості надання послуг надається у порядку та розмірі, визначеному Регулятором.</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pBdr/>
              <w:tabs>
                <w:tab w:val="clear" w:pos="720"/>
                <w:tab w:val="left" w:pos="288" w:leader="none"/>
              </w:tabs>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Можливість надання пільг, субсидій</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tabs>
                <w:tab w:val="clear" w:pos="720"/>
                <w:tab w:val="left" w:pos="403"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 передбачена</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13.Можливість постачання захищеним споживачам</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tabs>
                <w:tab w:val="clear" w:pos="720"/>
                <w:tab w:val="left" w:pos="403" w:leader="none"/>
              </w:tabs>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Відсутня</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14.Строк дії договору та умови пролонгації</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pPr>
            <w:r>
              <w:rPr>
                <w:rFonts w:eastAsia="Times New Roman" w:cs="Times New Roman" w:ascii="Times New Roman" w:hAnsi="Times New Roman"/>
                <w:color w:val="000000"/>
                <w:sz w:val="20"/>
                <w:szCs w:val="20"/>
              </w:rPr>
              <w:t>Договір набирає чинності з дати, вказаної в Повідомленні про намір та діє до «____» ______ 202__ року. Договір вважається автоматично пролонгованим на тих же умовах на кожний наступний календарний рік, якщо жодна із Сторін не пізніше, ніж за 21 календарний день до закінчення терміну дії договору не заявить про свій намір розірвати цей договір.</w:t>
            </w:r>
          </w:p>
        </w:tc>
      </w:tr>
      <w:tr>
        <w:trPr/>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15.Інші умови</w:t>
            </w:r>
          </w:p>
        </w:tc>
        <w:tc>
          <w:tcPr>
            <w:tcW w:w="703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Звіряння обсягу спожитої електричної енергії проводиться у довільній формі не пізніше ніж 3-го числа місяця наступного за розрахунковим, шляхом повідомлення Споживачем Постачальнику фактичного обсягу електроспоживання.</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Витрати оператора системи на здійснення робіт з припинення та відновлення електроживлення електроустановок Споживача (повторне підключення електроустановки), які були виставлені ОСР до оплати Постачальнику, відшкодовуються Постачальнику Споживачем у повному обсязі.</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 зміну умов цієї комерційної пропозиції, а також про зміну умов Договору Постачальник інформує Споживача не пізніше ніж за 20 календарних днів до дати запровадження таких змін.</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Постачальник інформує Споживача з яким укладено Договір, в тому числі, але не обмежуючись, про закінчення терміну дії Договору, про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w:t>
            </w:r>
          </w:p>
          <w:p>
            <w:pPr>
              <w:pStyle w:val="Normal"/>
              <w:numPr>
                <w:ilvl w:val="0"/>
                <w:numId w:val="2"/>
              </w:numPr>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засобами електронного зв’язку на адресу електронної пошти, вказаної у Договорі;</w:t>
            </w:r>
          </w:p>
          <w:p>
            <w:pPr>
              <w:pStyle w:val="Normal"/>
              <w:numPr>
                <w:ilvl w:val="0"/>
                <w:numId w:val="2"/>
              </w:numPr>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СМС-повідомленням на номер, зазначений у Договорі;</w:t>
            </w:r>
          </w:p>
          <w:p>
            <w:pPr>
              <w:pStyle w:val="Normal"/>
              <w:numPr>
                <w:ilvl w:val="0"/>
                <w:numId w:val="2"/>
              </w:numPr>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засобами поштового зв’язку.</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разі незгоди Споживача з внесеними до комерційної пропозиції або договору змінами, він має право достроково розірвати Договір, письмово повідомивши про це Постачальника за 21 календарний день до очікуваної дати розірвання.</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 наявності розбіжностей в частині визначення обсягу спожитої електричної енергії вони підлягають врегулюванню відповідно до Кодексу комерційного обліку або в судовому порядку. До вирішення цього питання величина обсягу спожитої електричної енергії встановлюється відповідно до даних Оператора системи розподілу(передачі).</w:t>
            </w:r>
          </w:p>
          <w:p>
            <w:pPr>
              <w:pStyle w:val="Normal"/>
              <w:pBd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 всім питанням не врегульованим Договором, або цією комерційною пропозицією, Сторони керуються чинним законодавством України, зокрема, Законом України «Про ринок електричної енергії» та «Правилами роздрібного ринку електричної енергії».</w:t>
            </w:r>
          </w:p>
        </w:tc>
      </w:tr>
    </w:tbl>
    <w:p>
      <w:pPr>
        <w:pStyle w:val="Normal"/>
        <w:pBdr/>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Style w:val="af5"/>
        <w:tblW w:w="9776" w:type="dxa"/>
        <w:jc w:val="left"/>
        <w:tblInd w:w="0" w:type="dxa"/>
        <w:tblCellMar>
          <w:top w:w="0" w:type="dxa"/>
          <w:left w:w="108" w:type="dxa"/>
          <w:bottom w:w="0" w:type="dxa"/>
          <w:right w:w="108" w:type="dxa"/>
        </w:tblCellMar>
        <w:tblLook w:firstRow="0" w:noVBand="0" w:lastRow="0" w:firstColumn="0" w:lastColumn="0" w:noHBand="0" w:val="0000"/>
      </w:tblPr>
      <w:tblGrid>
        <w:gridCol w:w="4814"/>
        <w:gridCol w:w="4961"/>
      </w:tblGrid>
      <w:tr>
        <w:trPr/>
        <w:tc>
          <w:tcPr>
            <w:tcW w:w="4814" w:type="dxa"/>
            <w:tcBorders/>
            <w:shd w:fill="auto" w:val="clear"/>
          </w:tcPr>
          <w:p>
            <w:pPr>
              <w:pStyle w:val="Normal"/>
              <w:keepNext w:val="true"/>
              <w:pBdr/>
              <w:spacing w:lineRule="auto" w:line="240" w:before="0" w:after="0"/>
              <w:ind w:left="0" w:hanging="2"/>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ПОСТАЧАЛЬНИК:</w:t>
            </w:r>
          </w:p>
        </w:tc>
        <w:tc>
          <w:tcPr>
            <w:tcW w:w="4961" w:type="dxa"/>
            <w:tcBorders/>
            <w:shd w:fill="auto" w:val="clear"/>
          </w:tcPr>
          <w:p>
            <w:pPr>
              <w:pStyle w:val="Normal"/>
              <w:keepNext w:val="true"/>
              <w:pBdr/>
              <w:spacing w:lineRule="auto" w:line="240" w:before="0" w:after="0"/>
              <w:ind w:left="0" w:hanging="2"/>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СПОЖИВАЧ:</w:t>
            </w:r>
          </w:p>
        </w:tc>
      </w:tr>
      <w:tr>
        <w:trPr/>
        <w:tc>
          <w:tcPr>
            <w:tcW w:w="4814"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ТОВ «ГАЗ УКРАЇНИ»</w:t>
            </w:r>
          </w:p>
        </w:tc>
        <w:tc>
          <w:tcPr>
            <w:tcW w:w="4961" w:type="dxa"/>
            <w:tcBorders/>
            <w:shd w:fill="auto" w:val="clear"/>
          </w:tcPr>
          <w:p>
            <w:pPr>
              <w:pStyle w:val="Normal"/>
              <w:pBdr/>
              <w:spacing w:lineRule="auto" w:line="240" w:before="0" w:after="0"/>
              <w:ind w:left="0" w:right="57"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4814" w:type="dxa"/>
            <w:tcBorders/>
            <w:shd w:fill="auto" w:val="clear"/>
          </w:tcPr>
          <w:p>
            <w:pPr>
              <w:pStyle w:val="Normal"/>
              <w:pBdr/>
              <w:spacing w:lineRule="auto" w:line="240" w:before="0" w:after="0"/>
              <w:ind w:left="0" w:right="2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961" w:type="dxa"/>
            <w:tcBorders/>
            <w:shd w:fill="auto" w:val="clear"/>
          </w:tcPr>
          <w:p>
            <w:pPr>
              <w:pStyle w:val="Normal"/>
              <w:pBdr/>
              <w:spacing w:lineRule="auto" w:line="240" w:before="0" w:after="0"/>
              <w:ind w:left="0" w:right="57"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4814"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Директор ________________ ______________</w:t>
            </w:r>
          </w:p>
        </w:tc>
        <w:tc>
          <w:tcPr>
            <w:tcW w:w="4961"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Директор __________________  ______________</w:t>
            </w:r>
          </w:p>
        </w:tc>
      </w:tr>
      <w:tr>
        <w:trPr/>
        <w:tc>
          <w:tcPr>
            <w:tcW w:w="4814"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М.П.</w:t>
            </w:r>
          </w:p>
        </w:tc>
        <w:tc>
          <w:tcPr>
            <w:tcW w:w="4961" w:type="dxa"/>
            <w:tcBorders/>
            <w:shd w:fill="auto" w:val="clear"/>
          </w:tcPr>
          <w:p>
            <w:pPr>
              <w:pStyle w:val="Normal"/>
              <w:pBdr/>
              <w:spacing w:lineRule="auto" w:line="240" w:before="0" w:after="0"/>
              <w:ind w:left="0" w:hanging="2"/>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М.П.</w:t>
            </w:r>
          </w:p>
        </w:tc>
      </w:tr>
    </w:tbl>
    <w:p>
      <w:pPr>
        <w:pStyle w:val="Normal"/>
        <w:pBdr/>
        <w:spacing w:before="0" w:after="160"/>
        <w:ind w:left="0" w:hanging="2"/>
        <w:rPr/>
      </w:pPr>
      <w:r>
        <w:rPr/>
      </w:r>
    </w:p>
    <w:sectPr>
      <w:type w:val="nextPage"/>
      <w:pgSz w:w="11906" w:h="16838"/>
      <w:pgMar w:left="1418" w:right="567" w:header="0" w:top="567" w:footer="0" w:bottom="56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TimesNewRomanPSMT">
    <w:charset w:val="cc"/>
    <w:family w:val="roman"/>
    <w:pitch w:val="variable"/>
  </w:font>
  <w:font w:name="Palatino Linotype">
    <w:charset w:val="cc"/>
    <w:family w:val="roman"/>
    <w:pitch w:val="variable"/>
  </w:font>
  <w:font w:name="Segoe UI">
    <w:charset w:val="cc"/>
    <w:family w:val="roman"/>
    <w:pitch w:val="variable"/>
  </w:font>
  <w:font w:name="Arial">
    <w:charset w:val="cc"/>
    <w:family w:val="swiss"/>
    <w:pitch w:val="variable"/>
  </w:font>
  <w:font w:name="Georgia">
    <w:charset w:val="cc"/>
    <w:family w:val="roman"/>
    <w:pitch w:val="variable"/>
  </w:font>
  <w:font w:name="Arial">
    <w:charset w:val="cc"/>
    <w:family w:val="roman"/>
    <w:pitch w:val="variable"/>
  </w:font>
  <w:font w:name="Noto Sans Symbols">
    <w:charset w:val="01"/>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vertAlign w:val="baseline"/>
        <w:position w:val="0"/>
        <w:sz w:val="20"/>
        <w:sz w:val="20"/>
        <w:rFonts w:ascii="Times New Roman" w:hAnsi="Times New Roman"/>
      </w:rPr>
    </w:lvl>
    <w:lvl w:ilvl="1">
      <w:start w:val="1"/>
      <w:numFmt w:val="lowerLetter"/>
      <w:lvlText w:val="%2."/>
      <w:lvlJc w:val="left"/>
      <w:pPr>
        <w:ind w:left="1440" w:hanging="360"/>
      </w:pPr>
      <w:rPr>
        <w:vertAlign w:val="baseline"/>
        <w:position w:val="0"/>
        <w:sz w:val="22"/>
      </w:rPr>
    </w:lvl>
    <w:lvl w:ilvl="2">
      <w:start w:val="1"/>
      <w:numFmt w:val="lowerRoman"/>
      <w:lvlText w:val="%3."/>
      <w:lvlJc w:val="right"/>
      <w:pPr>
        <w:ind w:left="2160" w:hanging="180"/>
      </w:pPr>
      <w:rPr>
        <w:vertAlign w:val="baseline"/>
        <w:position w:val="0"/>
        <w:sz w:val="22"/>
      </w:rPr>
    </w:lvl>
    <w:lvl w:ilvl="3">
      <w:start w:val="1"/>
      <w:numFmt w:val="decimal"/>
      <w:lvlText w:val="%4."/>
      <w:lvlJc w:val="left"/>
      <w:pPr>
        <w:ind w:left="2880" w:hanging="360"/>
      </w:pPr>
      <w:rPr>
        <w:vertAlign w:val="baseline"/>
        <w:position w:val="0"/>
        <w:sz w:val="22"/>
      </w:rPr>
    </w:lvl>
    <w:lvl w:ilvl="4">
      <w:start w:val="1"/>
      <w:numFmt w:val="lowerLetter"/>
      <w:lvlText w:val="%5."/>
      <w:lvlJc w:val="left"/>
      <w:pPr>
        <w:ind w:left="3600" w:hanging="360"/>
      </w:pPr>
      <w:rPr>
        <w:vertAlign w:val="baseline"/>
        <w:position w:val="0"/>
        <w:sz w:val="22"/>
      </w:rPr>
    </w:lvl>
    <w:lvl w:ilvl="5">
      <w:start w:val="1"/>
      <w:numFmt w:val="lowerRoman"/>
      <w:lvlText w:val="%6."/>
      <w:lvlJc w:val="right"/>
      <w:pPr>
        <w:ind w:left="4320" w:hanging="180"/>
      </w:pPr>
      <w:rPr>
        <w:vertAlign w:val="baseline"/>
        <w:position w:val="0"/>
        <w:sz w:val="22"/>
      </w:rPr>
    </w:lvl>
    <w:lvl w:ilvl="6">
      <w:start w:val="1"/>
      <w:numFmt w:val="decimal"/>
      <w:lvlText w:val="%7."/>
      <w:lvlJc w:val="left"/>
      <w:pPr>
        <w:ind w:left="5040" w:hanging="360"/>
      </w:pPr>
      <w:rPr>
        <w:vertAlign w:val="baseline"/>
        <w:position w:val="0"/>
        <w:sz w:val="22"/>
      </w:rPr>
    </w:lvl>
    <w:lvl w:ilvl="7">
      <w:start w:val="1"/>
      <w:numFmt w:val="lowerLetter"/>
      <w:lvlText w:val="%8."/>
      <w:lvlJc w:val="left"/>
      <w:pPr>
        <w:ind w:left="5760" w:hanging="360"/>
      </w:pPr>
      <w:rPr>
        <w:vertAlign w:val="baseline"/>
        <w:position w:val="0"/>
        <w:sz w:val="22"/>
      </w:rPr>
    </w:lvl>
    <w:lvl w:ilvl="8">
      <w:start w:val="1"/>
      <w:numFmt w:val="lowerRoman"/>
      <w:lvlText w:val="%9."/>
      <w:lvlJc w:val="right"/>
      <w:pPr>
        <w:ind w:left="6480" w:hanging="180"/>
      </w:pPr>
      <w:rPr>
        <w:vertAlign w:val="baseline"/>
        <w:position w:val="0"/>
        <w:sz w:val="22"/>
      </w:r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2"/>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2"/>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2"/>
        <w:rFonts w:cs="Noto Sans Symbols"/>
      </w:rPr>
    </w:lvl>
    <w:lvl w:ilvl="4">
      <w:start w:val="1"/>
      <w:numFmt w:val="bullet"/>
      <w:lvlText w:val="o"/>
      <w:lvlJc w:val="left"/>
      <w:pPr>
        <w:ind w:left="3600" w:hanging="360"/>
      </w:pPr>
      <w:rPr>
        <w:rFonts w:ascii="Courier New" w:hAnsi="Courier New" w:cs="Courier New" w:hint="default"/>
        <w:vertAlign w:val="baseline"/>
        <w:position w:val="0"/>
        <w:sz w:val="22"/>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2"/>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2"/>
        <w:rFonts w:cs="Noto Sans Symbols"/>
      </w:rPr>
    </w:lvl>
    <w:lvl w:ilvl="7">
      <w:start w:val="1"/>
      <w:numFmt w:val="bullet"/>
      <w:lvlText w:val="o"/>
      <w:lvlJc w:val="left"/>
      <w:pPr>
        <w:ind w:left="5760" w:hanging="360"/>
      </w:pPr>
      <w:rPr>
        <w:rFonts w:ascii="Courier New" w:hAnsi="Courier New" w:cs="Courier New" w:hint="default"/>
        <w:vertAlign w:val="baseline"/>
        <w:position w:val="0"/>
        <w:sz w:val="22"/>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2"/>
        <w:rFonts w:cs="Noto Sans Symbols"/>
      </w:rPr>
    </w:lvl>
  </w:abstractNum>
  <w:abstractNum w:abstractNumId="3">
    <w:lvl w:ilvl="0">
      <w:start w:val="1"/>
      <w:numFmt w:val="decimal"/>
      <w:lvlText w:val="%1."/>
      <w:lvlJc w:val="left"/>
      <w:pPr>
        <w:ind w:left="720" w:hanging="360"/>
      </w:pPr>
      <w:rPr>
        <w:vertAlign w:val="baseline"/>
        <w:position w:val="0"/>
        <w:sz w:val="20"/>
        <w:sz w:val="20"/>
        <w:rFonts w:ascii="Times New Roman" w:hAnsi="Times New Roman"/>
      </w:rPr>
    </w:lvl>
    <w:lvl w:ilvl="1">
      <w:start w:val="1"/>
      <w:numFmt w:val="lowerLetter"/>
      <w:lvlText w:val="%2."/>
      <w:lvlJc w:val="left"/>
      <w:pPr>
        <w:ind w:left="1440" w:hanging="360"/>
      </w:pPr>
      <w:rPr>
        <w:vertAlign w:val="baseline"/>
        <w:position w:val="0"/>
        <w:sz w:val="22"/>
      </w:rPr>
    </w:lvl>
    <w:lvl w:ilvl="2">
      <w:start w:val="1"/>
      <w:numFmt w:val="lowerRoman"/>
      <w:lvlText w:val="%3."/>
      <w:lvlJc w:val="right"/>
      <w:pPr>
        <w:ind w:left="2160" w:hanging="180"/>
      </w:pPr>
      <w:rPr>
        <w:vertAlign w:val="baseline"/>
        <w:position w:val="0"/>
        <w:sz w:val="22"/>
      </w:rPr>
    </w:lvl>
    <w:lvl w:ilvl="3">
      <w:start w:val="1"/>
      <w:numFmt w:val="decimal"/>
      <w:lvlText w:val="%4."/>
      <w:lvlJc w:val="left"/>
      <w:pPr>
        <w:ind w:left="2880" w:hanging="360"/>
      </w:pPr>
      <w:rPr>
        <w:vertAlign w:val="baseline"/>
        <w:position w:val="0"/>
        <w:sz w:val="22"/>
      </w:rPr>
    </w:lvl>
    <w:lvl w:ilvl="4">
      <w:start w:val="1"/>
      <w:numFmt w:val="lowerLetter"/>
      <w:lvlText w:val="%5."/>
      <w:lvlJc w:val="left"/>
      <w:pPr>
        <w:ind w:left="3600" w:hanging="360"/>
      </w:pPr>
      <w:rPr>
        <w:vertAlign w:val="baseline"/>
        <w:position w:val="0"/>
        <w:sz w:val="22"/>
      </w:rPr>
    </w:lvl>
    <w:lvl w:ilvl="5">
      <w:start w:val="1"/>
      <w:numFmt w:val="lowerRoman"/>
      <w:lvlText w:val="%6."/>
      <w:lvlJc w:val="right"/>
      <w:pPr>
        <w:ind w:left="4320" w:hanging="180"/>
      </w:pPr>
      <w:rPr>
        <w:vertAlign w:val="baseline"/>
        <w:position w:val="0"/>
        <w:sz w:val="22"/>
      </w:rPr>
    </w:lvl>
    <w:lvl w:ilvl="6">
      <w:start w:val="1"/>
      <w:numFmt w:val="decimal"/>
      <w:lvlText w:val="%7."/>
      <w:lvlJc w:val="left"/>
      <w:pPr>
        <w:ind w:left="5040" w:hanging="360"/>
      </w:pPr>
      <w:rPr>
        <w:vertAlign w:val="baseline"/>
        <w:position w:val="0"/>
        <w:sz w:val="22"/>
      </w:rPr>
    </w:lvl>
    <w:lvl w:ilvl="7">
      <w:start w:val="1"/>
      <w:numFmt w:val="lowerLetter"/>
      <w:lvlText w:val="%8."/>
      <w:lvlJc w:val="left"/>
      <w:pPr>
        <w:ind w:left="5760" w:hanging="360"/>
      </w:pPr>
      <w:rPr>
        <w:vertAlign w:val="baseline"/>
        <w:position w:val="0"/>
        <w:sz w:val="22"/>
      </w:rPr>
    </w:lvl>
    <w:lvl w:ilvl="8">
      <w:start w:val="1"/>
      <w:numFmt w:val="lowerRoman"/>
      <w:lvlText w:val="%9."/>
      <w:lvlJc w:val="right"/>
      <w:pPr>
        <w:ind w:left="6480" w:hanging="180"/>
      </w:pPr>
      <w:rPr>
        <w:vertAlign w:val="baseline"/>
        <w:position w:val="0"/>
        <w:sz w:val="22"/>
      </w:rPr>
    </w:lvl>
  </w:abstractNum>
  <w:abstractNum w:abstractNumId="4">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lowerLetter"/>
      <w:lvlText w:val="%2."/>
      <w:lvlJc w:val="left"/>
      <w:pPr>
        <w:ind w:left="1440" w:hanging="360"/>
      </w:pPr>
      <w:rPr>
        <w:vertAlign w:val="baseline"/>
        <w:position w:val="0"/>
        <w:sz w:val="22"/>
      </w:rPr>
    </w:lvl>
    <w:lvl w:ilvl="2">
      <w:start w:val="1"/>
      <w:numFmt w:val="lowerRoman"/>
      <w:lvlText w:val="%3."/>
      <w:lvlJc w:val="right"/>
      <w:pPr>
        <w:ind w:left="2160" w:hanging="180"/>
      </w:pPr>
      <w:rPr>
        <w:vertAlign w:val="baseline"/>
        <w:position w:val="0"/>
        <w:sz w:val="22"/>
      </w:rPr>
    </w:lvl>
    <w:lvl w:ilvl="3">
      <w:start w:val="1"/>
      <w:numFmt w:val="decimal"/>
      <w:lvlText w:val="%4."/>
      <w:lvlJc w:val="left"/>
      <w:pPr>
        <w:ind w:left="2880" w:hanging="360"/>
      </w:pPr>
      <w:rPr>
        <w:vertAlign w:val="baseline"/>
        <w:position w:val="0"/>
        <w:sz w:val="22"/>
      </w:rPr>
    </w:lvl>
    <w:lvl w:ilvl="4">
      <w:start w:val="1"/>
      <w:numFmt w:val="lowerLetter"/>
      <w:lvlText w:val="%5."/>
      <w:lvlJc w:val="left"/>
      <w:pPr>
        <w:ind w:left="3600" w:hanging="360"/>
      </w:pPr>
      <w:rPr>
        <w:vertAlign w:val="baseline"/>
        <w:position w:val="0"/>
        <w:sz w:val="22"/>
      </w:rPr>
    </w:lvl>
    <w:lvl w:ilvl="5">
      <w:start w:val="1"/>
      <w:numFmt w:val="lowerRoman"/>
      <w:lvlText w:val="%6."/>
      <w:lvlJc w:val="right"/>
      <w:pPr>
        <w:ind w:left="4320" w:hanging="180"/>
      </w:pPr>
      <w:rPr>
        <w:vertAlign w:val="baseline"/>
        <w:position w:val="0"/>
        <w:sz w:val="22"/>
      </w:rPr>
    </w:lvl>
    <w:lvl w:ilvl="6">
      <w:start w:val="1"/>
      <w:numFmt w:val="decimal"/>
      <w:lvlText w:val="%7."/>
      <w:lvlJc w:val="left"/>
      <w:pPr>
        <w:ind w:left="5040" w:hanging="360"/>
      </w:pPr>
      <w:rPr>
        <w:vertAlign w:val="baseline"/>
        <w:position w:val="0"/>
        <w:sz w:val="22"/>
      </w:rPr>
    </w:lvl>
    <w:lvl w:ilvl="7">
      <w:start w:val="1"/>
      <w:numFmt w:val="lowerLetter"/>
      <w:lvlText w:val="%8."/>
      <w:lvlJc w:val="left"/>
      <w:pPr>
        <w:ind w:left="5760" w:hanging="360"/>
      </w:pPr>
      <w:rPr>
        <w:vertAlign w:val="baseline"/>
        <w:position w:val="0"/>
        <w:sz w:val="22"/>
      </w:rPr>
    </w:lvl>
    <w:lvl w:ilvl="8">
      <w:start w:val="1"/>
      <w:numFmt w:val="lowerRoman"/>
      <w:lvlText w:val="%9."/>
      <w:lvlJc w:val="right"/>
      <w:pPr>
        <w:ind w:left="6480" w:hanging="180"/>
      </w:pPr>
      <w:rPr>
        <w:vertAlign w:val="baseline"/>
        <w:position w:val="0"/>
        <w:sz w:val="22"/>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ru-R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ind w:left="-1" w:hanging="1"/>
      <w:jc w:val="left"/>
      <w:textAlignment w:val="top"/>
      <w:outlineLvl w:val="0"/>
    </w:pPr>
    <w:rPr>
      <w:rFonts w:ascii="Calibri" w:hAnsi="Calibri" w:eastAsia="Calibri" w:cs="Calibri"/>
      <w:color w:val="auto"/>
      <w:kern w:val="0"/>
      <w:sz w:val="22"/>
      <w:szCs w:val="22"/>
      <w:lang w:eastAsia="en-US" w:val="uk-UA" w:bidi="ar-SA"/>
    </w:rPr>
  </w:style>
  <w:style w:type="paragraph" w:styleId="1">
    <w:name w:val="Heading 1"/>
    <w:basedOn w:val="Normal"/>
    <w:next w:val="Normal"/>
    <w:uiPriority w:val="9"/>
    <w:qFormat/>
    <w:pPr>
      <w:keepNext w:val="true"/>
      <w:spacing w:lineRule="auto" w:line="240" w:before="0" w:after="0"/>
    </w:pPr>
    <w:rPr>
      <w:rFonts w:ascii="TimesNewRomanPSMT" w:hAnsi="TimesNewRomanPSMT" w:cs="TimesNewRomanPSMT"/>
      <w:b/>
      <w:sz w:val="20"/>
      <w:szCs w:val="20"/>
    </w:rPr>
  </w:style>
  <w:style w:type="paragraph" w:styleId="2">
    <w:name w:val="Heading 2"/>
    <w:basedOn w:val="Normal"/>
    <w:next w:val="Normal"/>
    <w:uiPriority w:val="9"/>
    <w:semiHidden/>
    <w:unhideWhenUsed/>
    <w:qFormat/>
    <w:pPr>
      <w:keepNext w:val="true"/>
      <w:spacing w:lineRule="auto" w:line="240" w:before="0" w:after="0"/>
      <w:jc w:val="center"/>
      <w:outlineLvl w:val="1"/>
    </w:pPr>
    <w:rPr>
      <w:rFonts w:ascii="TimesNewRomanPSMT" w:hAnsi="TimesNewRomanPSMT" w:cs="TimesNewRomanPSMT"/>
      <w:b/>
      <w:sz w:val="20"/>
      <w:szCs w:val="20"/>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sz w:val="24"/>
      <w:szCs w:val="24"/>
    </w:rPr>
  </w:style>
  <w:style w:type="paragraph" w:styleId="5">
    <w:name w:val="Heading 5"/>
    <w:basedOn w:val="Normal"/>
    <w:next w:val="Normal"/>
    <w:uiPriority w:val="9"/>
    <w:semiHidden/>
    <w:unhideWhenUsed/>
    <w:qFormat/>
    <w:pPr>
      <w:keepNext w:val="true"/>
      <w:keepLines/>
      <w:spacing w:before="220" w:after="40"/>
      <w:outlineLvl w:val="4"/>
    </w:pPr>
    <w:rPr>
      <w:b/>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Мій Знак"/>
    <w:qFormat/>
    <w:rPr>
      <w:rFonts w:ascii="Times New Roman" w:hAnsi="Times New Roman" w:eastAsia="Times New Roman" w:cs="Times New Roman"/>
      <w:b/>
      <w:w w:val="100"/>
      <w:position w:val="0"/>
      <w:sz w:val="28"/>
      <w:sz w:val="28"/>
      <w:szCs w:val="28"/>
      <w:effect w:val="none"/>
      <w:vertAlign w:val="baseline"/>
      <w:em w:val="none"/>
      <w:lang w:val="ru-RU" w:eastAsia="uk-UA"/>
    </w:rPr>
  </w:style>
  <w:style w:type="character" w:styleId="Style9" w:customStyle="1">
    <w:name w:val="Мой Знак"/>
    <w:qFormat/>
    <w:rPr>
      <w:rFonts w:ascii="Times New Roman" w:hAnsi="Times New Roman" w:eastAsia="Times New Roman" w:cs="Times New Roman"/>
      <w:b/>
      <w:caps/>
      <w:w w:val="100"/>
      <w:position w:val="0"/>
      <w:sz w:val="32"/>
      <w:sz w:val="32"/>
      <w:szCs w:val="28"/>
      <w:effect w:val="none"/>
      <w:vertAlign w:val="baseline"/>
      <w:em w:val="none"/>
      <w:lang w:val="ru-RU" w:eastAsia="uk-UA"/>
    </w:rPr>
  </w:style>
  <w:style w:type="character" w:styleId="Style10" w:customStyle="1">
    <w:name w:val="Основной текст Знак"/>
    <w:qFormat/>
    <w:rPr>
      <w:rFonts w:ascii="TimesNewRomanPSMT" w:hAnsi="TimesNewRomanPSMT" w:cs="TimesNewRomanPSMT"/>
      <w:w w:val="100"/>
      <w:position w:val="0"/>
      <w:sz w:val="20"/>
      <w:sz w:val="20"/>
      <w:szCs w:val="20"/>
      <w:effect w:val="none"/>
      <w:vertAlign w:val="baseline"/>
      <w:em w:val="none"/>
    </w:rPr>
  </w:style>
  <w:style w:type="character" w:styleId="11" w:customStyle="1">
    <w:name w:val="Заголовок 1 Знак"/>
    <w:qFormat/>
    <w:rPr>
      <w:rFonts w:ascii="TimesNewRomanPSMT" w:hAnsi="TimesNewRomanPSMT" w:cs="TimesNewRomanPSMT"/>
      <w:b/>
      <w:w w:val="100"/>
      <w:position w:val="0"/>
      <w:sz w:val="20"/>
      <w:sz w:val="20"/>
      <w:szCs w:val="20"/>
      <w:effect w:val="none"/>
      <w:vertAlign w:val="baseline"/>
      <w:em w:val="none"/>
    </w:rPr>
  </w:style>
  <w:style w:type="character" w:styleId="21" w:customStyle="1">
    <w:name w:val="Заголовок 2 Знак"/>
    <w:qFormat/>
    <w:rPr>
      <w:rFonts w:ascii="TimesNewRomanPSMT" w:hAnsi="TimesNewRomanPSMT" w:cs="TimesNewRomanPSMT"/>
      <w:b/>
      <w:w w:val="100"/>
      <w:position w:val="0"/>
      <w:sz w:val="20"/>
      <w:sz w:val="20"/>
      <w:szCs w:val="20"/>
      <w:effect w:val="none"/>
      <w:vertAlign w:val="baseline"/>
      <w:em w:val="none"/>
    </w:rPr>
  </w:style>
  <w:style w:type="character" w:styleId="Style11">
    <w:name w:val="Интернет-ссылка"/>
    <w:qFormat/>
    <w:rPr>
      <w:color w:val="0000FF"/>
      <w:w w:val="100"/>
      <w:position w:val="0"/>
      <w:sz w:val="22"/>
      <w:u w:val="single"/>
      <w:effect w:val="none"/>
      <w:vertAlign w:val="baseline"/>
      <w:em w:val="none"/>
    </w:rPr>
  </w:style>
  <w:style w:type="character" w:styleId="22" w:customStyle="1">
    <w:name w:val="Основной текст 2 Знак"/>
    <w:qFormat/>
    <w:rPr>
      <w:rFonts w:ascii="Palatino Linotype" w:hAnsi="Palatino Linotype" w:cs="Cambria"/>
      <w:w w:val="100"/>
      <w:position w:val="0"/>
      <w:sz w:val="22"/>
      <w:effect w:val="none"/>
      <w:vertAlign w:val="baseline"/>
      <w:em w:val="none"/>
    </w:rPr>
  </w:style>
  <w:style w:type="character" w:styleId="Fontstyle21" w:customStyle="1">
    <w:name w:val="fontstyle21"/>
    <w:qFormat/>
    <w:rPr>
      <w:rFonts w:ascii="TimesNewRomanPSMT" w:hAnsi="TimesNewRomanPSMT"/>
      <w:color w:val="212121"/>
      <w:w w:val="100"/>
      <w:position w:val="0"/>
      <w:sz w:val="26"/>
      <w:sz w:val="26"/>
      <w:szCs w:val="26"/>
      <w:effect w:val="none"/>
      <w:vertAlign w:val="baseline"/>
      <w:em w:val="none"/>
    </w:rPr>
  </w:style>
  <w:style w:type="character" w:styleId="Style12" w:customStyle="1">
    <w:name w:val="Основной текст с отступом Знак"/>
    <w:qFormat/>
    <w:rPr>
      <w:rFonts w:ascii="Palatino Linotype" w:hAnsi="Palatino Linotype" w:cs="Cambria"/>
      <w:w w:val="100"/>
      <w:position w:val="0"/>
      <w:sz w:val="22"/>
      <w:effect w:val="none"/>
      <w:vertAlign w:val="baseline"/>
      <w:em w:val="none"/>
    </w:rPr>
  </w:style>
  <w:style w:type="character" w:styleId="Style13" w:customStyle="1">
    <w:name w:val="Текст выноски Знак"/>
    <w:qFormat/>
    <w:rPr>
      <w:rFonts w:ascii="Segoe UI" w:hAnsi="Segoe UI" w:cs="Segoe UI"/>
      <w:w w:val="100"/>
      <w:position w:val="0"/>
      <w:sz w:val="18"/>
      <w:sz w:val="18"/>
      <w:szCs w:val="18"/>
      <w:effect w:val="none"/>
      <w:vertAlign w:val="baseline"/>
      <w:em w:val="none"/>
      <w:lang w:val="uk-UA" w:eastAsia="en-US"/>
    </w:rPr>
  </w:style>
  <w:style w:type="character" w:styleId="ListLabel1">
    <w:name w:val="ListLabel 1"/>
    <w:qFormat/>
    <w:rPr>
      <w:rFonts w:ascii="Times New Roman" w:hAnsi="Times New Roman"/>
      <w:position w:val="0"/>
      <w:sz w:val="20"/>
      <w:sz w:val="20"/>
      <w:vertAlign w:val="baseline"/>
    </w:rPr>
  </w:style>
  <w:style w:type="character" w:styleId="ListLabel2">
    <w:name w:val="ListLabel 2"/>
    <w:qFormat/>
    <w:rPr>
      <w:position w:val="0"/>
      <w:sz w:val="22"/>
      <w:vertAlign w:val="baseline"/>
    </w:rPr>
  </w:style>
  <w:style w:type="character" w:styleId="ListLabel3">
    <w:name w:val="ListLabel 3"/>
    <w:qFormat/>
    <w:rPr>
      <w:position w:val="0"/>
      <w:sz w:val="22"/>
      <w:vertAlign w:val="baseline"/>
    </w:rPr>
  </w:style>
  <w:style w:type="character" w:styleId="ListLabel4">
    <w:name w:val="ListLabel 4"/>
    <w:qFormat/>
    <w:rPr>
      <w:position w:val="0"/>
      <w:sz w:val="22"/>
      <w:vertAlign w:val="baseline"/>
    </w:rPr>
  </w:style>
  <w:style w:type="character" w:styleId="ListLabel5">
    <w:name w:val="ListLabel 5"/>
    <w:qFormat/>
    <w:rPr>
      <w:position w:val="0"/>
      <w:sz w:val="22"/>
      <w:vertAlign w:val="baseline"/>
    </w:rPr>
  </w:style>
  <w:style w:type="character" w:styleId="ListLabel6">
    <w:name w:val="ListLabel 6"/>
    <w:qFormat/>
    <w:rPr>
      <w:position w:val="0"/>
      <w:sz w:val="22"/>
      <w:vertAlign w:val="baseline"/>
    </w:rPr>
  </w:style>
  <w:style w:type="character" w:styleId="ListLabel7">
    <w:name w:val="ListLabel 7"/>
    <w:qFormat/>
    <w:rPr>
      <w:position w:val="0"/>
      <w:sz w:val="22"/>
      <w:vertAlign w:val="baseline"/>
    </w:rPr>
  </w:style>
  <w:style w:type="character" w:styleId="ListLabel8">
    <w:name w:val="ListLabel 8"/>
    <w:qFormat/>
    <w:rPr>
      <w:position w:val="0"/>
      <w:sz w:val="22"/>
      <w:vertAlign w:val="baseline"/>
    </w:rPr>
  </w:style>
  <w:style w:type="character" w:styleId="ListLabel9">
    <w:name w:val="ListLabel 9"/>
    <w:qFormat/>
    <w:rPr>
      <w:position w:val="0"/>
      <w:sz w:val="22"/>
      <w:vertAlign w:val="baseline"/>
    </w:rPr>
  </w:style>
  <w:style w:type="character" w:styleId="ListLabel10">
    <w:name w:val="ListLabel 10"/>
    <w:qFormat/>
    <w:rPr>
      <w:rFonts w:ascii="Times New Roman" w:hAnsi="Times New Roman" w:eastAsia="Noto Sans Symbols" w:cs="Noto Sans Symbols"/>
      <w:position w:val="0"/>
      <w:sz w:val="20"/>
      <w:sz w:val="20"/>
      <w:vertAlign w:val="baseline"/>
    </w:rPr>
  </w:style>
  <w:style w:type="character" w:styleId="ListLabel11">
    <w:name w:val="ListLabel 11"/>
    <w:qFormat/>
    <w:rPr>
      <w:rFonts w:eastAsia="Courier New" w:cs="Courier New"/>
      <w:position w:val="0"/>
      <w:sz w:val="22"/>
      <w:vertAlign w:val="baseline"/>
    </w:rPr>
  </w:style>
  <w:style w:type="character" w:styleId="ListLabel12">
    <w:name w:val="ListLabel 12"/>
    <w:qFormat/>
    <w:rPr>
      <w:rFonts w:eastAsia="Noto Sans Symbols" w:cs="Noto Sans Symbols"/>
      <w:position w:val="0"/>
      <w:sz w:val="22"/>
      <w:vertAlign w:val="baseline"/>
    </w:rPr>
  </w:style>
  <w:style w:type="character" w:styleId="ListLabel13">
    <w:name w:val="ListLabel 13"/>
    <w:qFormat/>
    <w:rPr>
      <w:rFonts w:eastAsia="Noto Sans Symbols" w:cs="Noto Sans Symbols"/>
      <w:position w:val="0"/>
      <w:sz w:val="22"/>
      <w:vertAlign w:val="baseline"/>
    </w:rPr>
  </w:style>
  <w:style w:type="character" w:styleId="ListLabel14">
    <w:name w:val="ListLabel 14"/>
    <w:qFormat/>
    <w:rPr>
      <w:rFonts w:eastAsia="Courier New" w:cs="Courier New"/>
      <w:position w:val="0"/>
      <w:sz w:val="22"/>
      <w:vertAlign w:val="baseline"/>
    </w:rPr>
  </w:style>
  <w:style w:type="character" w:styleId="ListLabel15">
    <w:name w:val="ListLabel 15"/>
    <w:qFormat/>
    <w:rPr>
      <w:rFonts w:eastAsia="Noto Sans Symbols" w:cs="Noto Sans Symbols"/>
      <w:position w:val="0"/>
      <w:sz w:val="22"/>
      <w:vertAlign w:val="baseline"/>
    </w:rPr>
  </w:style>
  <w:style w:type="character" w:styleId="ListLabel16">
    <w:name w:val="ListLabel 16"/>
    <w:qFormat/>
    <w:rPr>
      <w:rFonts w:eastAsia="Noto Sans Symbols" w:cs="Noto Sans Symbols"/>
      <w:position w:val="0"/>
      <w:sz w:val="22"/>
      <w:vertAlign w:val="baseline"/>
    </w:rPr>
  </w:style>
  <w:style w:type="character" w:styleId="ListLabel17">
    <w:name w:val="ListLabel 17"/>
    <w:qFormat/>
    <w:rPr>
      <w:rFonts w:eastAsia="Courier New" w:cs="Courier New"/>
      <w:position w:val="0"/>
      <w:sz w:val="22"/>
      <w:vertAlign w:val="baseline"/>
    </w:rPr>
  </w:style>
  <w:style w:type="character" w:styleId="ListLabel18">
    <w:name w:val="ListLabel 18"/>
    <w:qFormat/>
    <w:rPr>
      <w:rFonts w:eastAsia="Noto Sans Symbols" w:cs="Noto Sans Symbols"/>
      <w:position w:val="0"/>
      <w:sz w:val="22"/>
      <w:vertAlign w:val="baseline"/>
    </w:rPr>
  </w:style>
  <w:style w:type="character" w:styleId="ListLabel19">
    <w:name w:val="ListLabel 19"/>
    <w:qFormat/>
    <w:rPr>
      <w:rFonts w:ascii="Times New Roman" w:hAnsi="Times New Roman"/>
      <w:position w:val="0"/>
      <w:sz w:val="20"/>
      <w:sz w:val="20"/>
      <w:vertAlign w:val="baseline"/>
    </w:rPr>
  </w:style>
  <w:style w:type="character" w:styleId="ListLabel20">
    <w:name w:val="ListLabel 20"/>
    <w:qFormat/>
    <w:rPr>
      <w:position w:val="0"/>
      <w:sz w:val="22"/>
      <w:vertAlign w:val="baseline"/>
    </w:rPr>
  </w:style>
  <w:style w:type="character" w:styleId="ListLabel21">
    <w:name w:val="ListLabel 21"/>
    <w:qFormat/>
    <w:rPr>
      <w:position w:val="0"/>
      <w:sz w:val="22"/>
      <w:vertAlign w:val="baseline"/>
    </w:rPr>
  </w:style>
  <w:style w:type="character" w:styleId="ListLabel22">
    <w:name w:val="ListLabel 22"/>
    <w:qFormat/>
    <w:rPr>
      <w:position w:val="0"/>
      <w:sz w:val="22"/>
      <w:vertAlign w:val="baseline"/>
    </w:rPr>
  </w:style>
  <w:style w:type="character" w:styleId="ListLabel23">
    <w:name w:val="ListLabel 23"/>
    <w:qFormat/>
    <w:rPr>
      <w:position w:val="0"/>
      <w:sz w:val="22"/>
      <w:vertAlign w:val="baseline"/>
    </w:rPr>
  </w:style>
  <w:style w:type="character" w:styleId="ListLabel24">
    <w:name w:val="ListLabel 24"/>
    <w:qFormat/>
    <w:rPr>
      <w:position w:val="0"/>
      <w:sz w:val="22"/>
      <w:vertAlign w:val="baseline"/>
    </w:rPr>
  </w:style>
  <w:style w:type="character" w:styleId="ListLabel25">
    <w:name w:val="ListLabel 25"/>
    <w:qFormat/>
    <w:rPr>
      <w:position w:val="0"/>
      <w:sz w:val="22"/>
      <w:vertAlign w:val="baseline"/>
    </w:rPr>
  </w:style>
  <w:style w:type="character" w:styleId="ListLabel26">
    <w:name w:val="ListLabel 26"/>
    <w:qFormat/>
    <w:rPr>
      <w:position w:val="0"/>
      <w:sz w:val="22"/>
      <w:vertAlign w:val="baseline"/>
    </w:rPr>
  </w:style>
  <w:style w:type="character" w:styleId="ListLabel27">
    <w:name w:val="ListLabel 27"/>
    <w:qFormat/>
    <w:rPr>
      <w:position w:val="0"/>
      <w:sz w:val="22"/>
      <w:vertAlign w:val="baseline"/>
    </w:rPr>
  </w:style>
  <w:style w:type="character" w:styleId="ListLabel28">
    <w:name w:val="ListLabel 28"/>
    <w:qFormat/>
    <w:rPr>
      <w:rFonts w:ascii="Times New Roman" w:hAnsi="Times New Roman" w:eastAsia="Noto Sans Symbols" w:cs="Noto Sans Symbols"/>
      <w:position w:val="0"/>
      <w:sz w:val="20"/>
      <w:sz w:val="20"/>
      <w:vertAlign w:val="baseline"/>
    </w:rPr>
  </w:style>
  <w:style w:type="character" w:styleId="ListLabel29">
    <w:name w:val="ListLabel 29"/>
    <w:qFormat/>
    <w:rPr>
      <w:position w:val="0"/>
      <w:sz w:val="22"/>
      <w:vertAlign w:val="baseline"/>
    </w:rPr>
  </w:style>
  <w:style w:type="character" w:styleId="ListLabel30">
    <w:name w:val="ListLabel 30"/>
    <w:qFormat/>
    <w:rPr>
      <w:position w:val="0"/>
      <w:sz w:val="22"/>
      <w:vertAlign w:val="baseline"/>
    </w:rPr>
  </w:style>
  <w:style w:type="character" w:styleId="ListLabel31">
    <w:name w:val="ListLabel 31"/>
    <w:qFormat/>
    <w:rPr>
      <w:position w:val="0"/>
      <w:sz w:val="22"/>
      <w:vertAlign w:val="baseline"/>
    </w:rPr>
  </w:style>
  <w:style w:type="character" w:styleId="ListLabel32">
    <w:name w:val="ListLabel 32"/>
    <w:qFormat/>
    <w:rPr>
      <w:position w:val="0"/>
      <w:sz w:val="22"/>
      <w:vertAlign w:val="baseline"/>
    </w:rPr>
  </w:style>
  <w:style w:type="character" w:styleId="ListLabel33">
    <w:name w:val="ListLabel 33"/>
    <w:qFormat/>
    <w:rPr>
      <w:position w:val="0"/>
      <w:sz w:val="22"/>
      <w:vertAlign w:val="baseline"/>
    </w:rPr>
  </w:style>
  <w:style w:type="character" w:styleId="ListLabel34">
    <w:name w:val="ListLabel 34"/>
    <w:qFormat/>
    <w:rPr>
      <w:position w:val="0"/>
      <w:sz w:val="22"/>
      <w:vertAlign w:val="baseline"/>
    </w:rPr>
  </w:style>
  <w:style w:type="character" w:styleId="ListLabel35">
    <w:name w:val="ListLabel 35"/>
    <w:qFormat/>
    <w:rPr>
      <w:position w:val="0"/>
      <w:sz w:val="22"/>
      <w:vertAlign w:val="baseline"/>
    </w:rPr>
  </w:style>
  <w:style w:type="character" w:styleId="ListLabel36">
    <w:name w:val="ListLabel 36"/>
    <w:qFormat/>
    <w:rPr>
      <w:position w:val="0"/>
      <w:sz w:val="22"/>
      <w:vertAlign w:val="baseline"/>
    </w:rPr>
  </w:style>
  <w:style w:type="paragraph" w:styleId="Style14">
    <w:name w:val="Заголовок"/>
    <w:basedOn w:val="Normal"/>
    <w:next w:val="Style15"/>
    <w:qFormat/>
    <w:pPr>
      <w:keepNext w:val="true"/>
      <w:spacing w:before="240" w:after="120"/>
    </w:pPr>
    <w:rPr>
      <w:rFonts w:ascii="Arial" w:hAnsi="Arial" w:eastAsia="Microsoft YaHei" w:cs="Arial"/>
      <w:sz w:val="28"/>
      <w:szCs w:val="28"/>
    </w:rPr>
  </w:style>
  <w:style w:type="paragraph" w:styleId="Style15">
    <w:name w:val="Body Text"/>
    <w:basedOn w:val="Normal"/>
    <w:qFormat/>
    <w:pPr>
      <w:spacing w:lineRule="auto" w:line="240" w:before="0" w:after="0"/>
      <w:jc w:val="both"/>
    </w:pPr>
    <w:rPr>
      <w:rFonts w:ascii="TimesNewRomanPSMT" w:hAnsi="TimesNewRomanPSMT" w:cs="TimesNewRomanPSMT"/>
      <w:sz w:val="20"/>
      <w:szCs w:val="20"/>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Title"/>
    <w:basedOn w:val="Normal"/>
    <w:next w:val="Normal"/>
    <w:uiPriority w:val="10"/>
    <w:qFormat/>
    <w:pPr>
      <w:keepNext w:val="true"/>
      <w:keepLines/>
      <w:spacing w:before="480" w:after="120"/>
    </w:pPr>
    <w:rPr>
      <w:b/>
      <w:sz w:val="72"/>
      <w:szCs w:val="72"/>
    </w:rPr>
  </w:style>
  <w:style w:type="paragraph" w:styleId="Style20" w:customStyle="1">
    <w:name w:val="Мій"/>
    <w:basedOn w:val="Normal"/>
    <w:qFormat/>
    <w:pPr>
      <w:spacing w:lineRule="auto" w:line="240" w:before="0" w:after="0"/>
      <w:ind w:left="-1" w:firstLine="567"/>
      <w:jc w:val="center"/>
    </w:pPr>
    <w:rPr>
      <w:rFonts w:ascii="Times New Roman" w:hAnsi="Times New Roman" w:eastAsia="Times New Roman" w:cs="Times New Roman"/>
      <w:b/>
      <w:sz w:val="28"/>
      <w:szCs w:val="28"/>
      <w:lang w:val="ru-RU" w:eastAsia="uk-UA"/>
    </w:rPr>
  </w:style>
  <w:style w:type="paragraph" w:styleId="Style21" w:customStyle="1">
    <w:name w:val="Мой"/>
    <w:basedOn w:val="Normal"/>
    <w:qFormat/>
    <w:pPr>
      <w:spacing w:lineRule="auto" w:line="240" w:before="0" w:after="0"/>
      <w:ind w:left="-1" w:firstLine="567"/>
      <w:jc w:val="center"/>
    </w:pPr>
    <w:rPr>
      <w:rFonts w:ascii="Times New Roman" w:hAnsi="Times New Roman" w:eastAsia="Times New Roman" w:cs="Times New Roman"/>
      <w:b/>
      <w:caps/>
      <w:sz w:val="32"/>
      <w:szCs w:val="28"/>
      <w:lang w:val="ru-RU" w:eastAsia="uk-UA"/>
    </w:rPr>
  </w:style>
  <w:style w:type="paragraph" w:styleId="Style22" w:customStyle="1">
    <w:name w:val="Обычный (веб)"/>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paragraph" w:styleId="BodyText2">
    <w:name w:val="Body Text 2"/>
    <w:basedOn w:val="Normal"/>
    <w:qFormat/>
    <w:pPr>
      <w:spacing w:lineRule="auto" w:line="240" w:before="0" w:after="0"/>
      <w:jc w:val="both"/>
    </w:pPr>
    <w:rPr>
      <w:rFonts w:ascii="Palatino Linotype" w:hAnsi="Palatino Linotype" w:cs="Cambria"/>
    </w:rPr>
  </w:style>
  <w:style w:type="paragraph" w:styleId="ListParagraph">
    <w:name w:val="List Paragraph"/>
    <w:basedOn w:val="Normal"/>
    <w:qFormat/>
    <w:pPr>
      <w:spacing w:before="0" w:after="160"/>
      <w:ind w:left="720" w:hanging="1"/>
      <w:contextualSpacing/>
    </w:pPr>
    <w:rPr/>
  </w:style>
  <w:style w:type="paragraph" w:styleId="NoSpacing">
    <w:name w:val="No Spacing"/>
    <w:qFormat/>
    <w:pPr>
      <w:widowControl/>
      <w:suppressAutoHyphens w:val="true"/>
      <w:bidi w:val="0"/>
      <w:spacing w:lineRule="atLeast" w:line="1"/>
      <w:ind w:left="-1" w:hanging="1"/>
      <w:jc w:val="left"/>
      <w:textAlignment w:val="top"/>
      <w:outlineLvl w:val="0"/>
    </w:pPr>
    <w:rPr>
      <w:rFonts w:ascii="Calibri" w:hAnsi="Calibri" w:eastAsia="Calibri" w:cs="Calibri"/>
      <w:color w:val="auto"/>
      <w:kern w:val="0"/>
      <w:sz w:val="22"/>
      <w:szCs w:val="22"/>
      <w:lang w:eastAsia="en-US" w:val="uk-UA" w:bidi="ar-SA"/>
    </w:rPr>
  </w:style>
  <w:style w:type="paragraph" w:styleId="Style23">
    <w:name w:val="Body Text Indent"/>
    <w:basedOn w:val="Normal"/>
    <w:qFormat/>
    <w:pPr>
      <w:spacing w:lineRule="auto" w:line="240" w:before="0" w:after="0"/>
      <w:ind w:left="-1" w:firstLine="211"/>
      <w:jc w:val="both"/>
    </w:pPr>
    <w:rPr>
      <w:rFonts w:ascii="Palatino Linotype" w:hAnsi="Palatino Linotype" w:cs="Cambria"/>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yle24">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8">
    <w:name w:val="Table Grid"/>
    <w:basedOn w:val="a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cldTB3fqzyD4gCj88k0ZTQT6CPw==">AMUW2mWl31loo5QvrqRJhyr5vwtdM+pwrGriyZvOXmG5wiw4Y4ViU6TwJXJm3lcSFf/sK/EkB6piYoVenAwYbR0aPvnYHbprLFFRjo6DFW2RIQaiUHRj0/w=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Trio_Office/6.2.8.2$Windows_x86 LibreOffice_project/</Application>
  <Pages>4</Pages>
  <Words>1537</Words>
  <Characters>10970</Characters>
  <CharactersWithSpaces>12396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2021-02-24T19:50:00Z</dcterms:created>
  <dc:creator>Осадько</dc:creator>
  <dc:description/>
  <dc:language>en-US</dc:language>
  <cp:lastModifiedBy/>
  <dcterms:modified xsi:type="dcterms:W3CDTF">2022-11-22T16:57:08Z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